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firstLine="280"/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1"/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有关2019年度山东省青少年教育科学规划项目结项验收的通知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有关院校科研处、有关课题负责人：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2020年度山东省青少年教育科学规划项目已经公布，现将课题结项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验收有关事宜通知如下：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一、重点课题资助及发票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重点课题主持人应提供所在单位财务账号信息，并向第三方单位提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供发票，同时填写《重点课题立项协议书》，于2020年4月15日前报送，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以便划拨资助经费。重点课题每项资助2000元，一般课题经费自筹。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重点课题提供发票开票单位名称：山东省青少年教育科学研究院，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纳税人识别号：52370000MJD636087R。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二、缴纳课题结项鉴定费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根据课题立项通知，山东省青少年教育科学规划项目结题由山东省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青少年教育科学规划管理办公室负责统一组织成果鉴定。每项收取课题结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项鉴定费600元，课题鉴定费在领取立项证书时收取。鉴定费委托山东省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青少年教育科学研究院收取并开具发票。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开户银行名称：中国工商银行济南市中支行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账户名称：山东省青少年教育科学研究院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开户银行代码：102451011095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账号：1602 1109 1900 0007 789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注意事项：汇款时注明课题负责人及课题编号。将单位名称、纳税识别号或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统一社会信用代码信息发送到财务邮箱cn_qsn@163.com, 说明汇款人、汇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款事由、联系电话、邮箱，以方便财务科对账联络。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三、结项程序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（一）结项时间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课题研究周期为1年。结项材料受理时间：2020年12月1日-10日。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课题如需延期，均延期一年，延期者在2021年12月1日-10日提交结项材料。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（二）材料报送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1、课题鉴定结项申请书一式二份；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2、立项证书复印件一式一份；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3、 研究成果：公开发表的论文或者研究报告，研究报告不低于6000字，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一式二份。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纸质版结项材料按要求邮寄到山东省青少年教育科学研究院秘书处；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电子版材料发送到邮箱sd_qsn@163.com。以上材料不全者，将不予组织鉴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定。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四、优秀成果奖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2020年度山东省青少年教育科学规划项目所有结项课题由学术委员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会推荐参加山东省教育科学研究优秀成果奖的评审，课题主持人领取结项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证书时同时获得优秀成果奖证书。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五、立项证书领取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0" w:hanging="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 xml:space="preserve">       课题承担单位或课题负责人将评审费缴纳完毕，课题立项证书由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申报单位或课题负责人领取。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证书领取时间：2020年3月—4月。</w:t>
      </w:r>
    </w:p>
    <w:p>
      <w:pPr>
        <w:numPr>
          <w:ilvl w:val="0"/>
          <w:numId w:val="0"/>
        </w:numPr>
        <w:jc w:val="left"/>
        <w:shd w:val="clear" w:fill="FFFFFF"/>
        <w:spacing w:lineRule="auto" w:line="240" w:before="0" w:after="0"/>
        <w:ind w:left="560" w:firstLine="560"/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证书领取方式：快递或者自取。秘书处将按结项申请表所留信息</w:t>
      </w:r>
      <w:r>
        <w:rPr>
          <w:spacing w:val="0"/>
          <w:i w:val="0"/>
          <w:b w:val="0"/>
          <w:color w:val="000000" w:themeColor="text1"/>
          <w:position w:val="0"/>
          <w:sz w:val="28"/>
          <w:szCs w:val="28"/>
          <w:rFonts w:ascii="仿宋" w:eastAsia="仿宋" w:hAnsi="仿宋" w:hint="default"/>
        </w:rPr>
        <w:t>快递，如信息变更，及时联系秘书处。</w:t>
      </w:r>
    </w:p>
    <w:p>
      <w:pPr>
        <w:numPr>
          <w:ilvl w:val="0"/>
          <w:numId w:val="0"/>
        </w:numPr>
        <w:jc w:val="center"/>
        <w:shd w:val="clear" w:fill="FFFFFF"/>
        <w:spacing w:lineRule="auto" w:line="240" w:before="0" w:after="0"/>
        <w:ind w:left="280" w:firstLine="280"/>
        <w:rPr>
          <w:color w:val="000000" w:themeColor="text1"/>
          <w:position w:val="0"/>
          <w:sz w:val="28"/>
          <w:szCs w:val="28"/>
          <w:rFonts w:ascii="仿宋" w:eastAsia="仿宋" w:hAnsi="仿宋" w:hint="default"/>
        </w:rPr>
        <w:wordWrap w:val="off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Microsoft YaHe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2</Pages>
  <Paragraphs>0</Paragraphs>
  <Words>33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