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right="0" w:firstLine="0"/>
        <w:rPr>
          <w:spacing w:val="0"/>
          <w:i w:val="0"/>
          <w:b w:val="1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</w:t>
      </w:r>
      <w:r>
        <w:rPr>
          <w:spacing w:val="0"/>
          <w:i w:val="0"/>
          <w:b w:val="1"/>
          <w:color w:val="000000" w:themeColor="text1"/>
          <w:position w:val="0"/>
          <w:sz w:val="28"/>
          <w:szCs w:val="28"/>
          <w:rFonts w:ascii="仿宋" w:eastAsia="仿宋" w:hAnsi="仿宋" w:hint="default"/>
        </w:rPr>
        <w:t>有关2020年度山东省青少年和青少年工作重大研究课题结项验收的通知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有关院校、有关课题负责人：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2020年度山东省青少年和青少年工作重大研究课题已经公布，现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将课题结项验收有关事宜通知如下：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一、重点课题资助及发票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重点课题主持人应提供所在单位财务账号信息，并向第三方单位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提供发票，同时填写《重点课题立项协议书》，于2020年4月10日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前报送，以便划拨资助经费。重点课题每项资助2000元，其他类别课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题经费自筹。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重点课题提供资助发票，开票信息：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单位名称：山东省青少年教育科学研究院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纳税人识别号：52370000MJD636087R。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二、缴纳课题结项鉴定费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根据课题立项通知，山东省青少年和青少年工作重大研究课题结题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由山东省青少年工作领导小组办公室负责统一组织成果鉴定。每项收取课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题结项鉴定费800元，课题鉴定费在领取立项证书时收取。鉴定费委托山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东省青少年教育科学研究院收取并开具发票。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开户银行名称：中国工商银行济南市中支行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账户名称：山东省青少年教育科学研究院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开户银行代码：102451011095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账号：1602 1109 1900 0007 789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497" w:right="0" w:firstLine="497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注意事项：汇款时注明课题负责人及课题编号。将单位名称、纳税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识别号或统一社会信用代码信息发送到财务邮箱cn_qsn@163.com, 说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明汇款人、汇款事由、联系电话、邮箱，以方便财务科对账联络。 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三、结项程序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2" w:right="0" w:firstLine="562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（一）结项时间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497" w:right="0" w:firstLine="497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课题的研究周期为1年。结项材料受理时间：2020年12月1日-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10日。课题如需延期，均延期一年，延期者在2021年12月1日-10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日提交结项材料。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2" w:right="0" w:firstLine="562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（二）材料报送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1、山东省青少年和青少年重大课题鉴定结项申请书一式二份；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2、立项证书复印件一式一份；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3、研究成果：公开发表的论文或者研究报告，研究报告不低于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6000字，一式二份；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4、结项汇总表一式一份。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以上材料不全，将无法参加结项评审。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纸质版结项材料邮寄到山东省青少年教育科学研究院秘书处；电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子版材料发送到邮箱sd_qsn@163.com。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四、优秀成果奖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2020年度山东省青少年和青少年工作重大研究课题所有结项课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题由学术委员会推荐参加山东省教育科学研究优秀成果奖的评审，课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题主持人领取结项证书时同时获得优秀成果奖证书。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五、立项证书领取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课题承担单位或课题负责人将评审费缴纳完毕，课题立项证书由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申报单位集中领取或课题负责人领取。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领取方式：快递或自取。快递地址：与申报书无误的，将参照申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报书信息安排快递，如有变动，请及时告知。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br/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 证书领取时间：2020年3-4月份。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六、联系方式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地址：济南市历下区文化东路63号恒大帝景写字楼909办公室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邮箱：sd_qsn@163.com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left="560" w:right="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联系电话：0531—82076188   </w:t>
      </w:r>
    </w:p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right="0" w:firstLine="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crosoft YaHe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40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