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    有关2020年度山东省大学生科研项目结项验收的通知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有关院校、有关课题负责人：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2020年度山东省大学生科研项目立项名单已经公布，现将项目结项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验收有关事宜通知如下：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一、缴纳此项目研究成果论文结集出版费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根据项目立项通知，2020年度山东省大学生科研项目所有结题研究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成果由研究院统一结集出版，每项出版费用350元，项目出版费在领取立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项证书时收取。出版费委托山东省青少年教育科学研究院收取并开具发票。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开户银行名称：中国工商银行济南市中支行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账户名称：山东省青少年教育科学研究院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开户银行代码：102451011095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账号：1602 1109 1900 0007 789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注意事项：汇款时注明项目负责人及项目编号。将单位名称、纳税识别号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或统一社会信用代码信息发送到财务邮箱cn_qsn@163.com, 说明汇款人、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汇款事由、联系电话、邮箱，以方便财务科对账联络。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二、结项程序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项目的研究周期为1年。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研究成果出版材料提交时间：2021年7月5日-15日；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结项材料受理时间：2021年9月5日-15日。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1、课题鉴定结项申请书一式二份；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3、研究成果：研究报告5000-6000字，一式二份；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4、出版论文2000字（结项研究报告精简到2000字）；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以上材料纸质版邮寄到山东省青少年教育科学研究院秘书处；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（无出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版论文材料，视为放弃出版，不影响结项）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上述电子版材料发送到邮箱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sd_qsn@126.com，材料不齐全者不予受理结项。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三、论文结集出版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要求每项出版论文字数压缩至2000字（含注释、参考文献）。论文格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式请严格按照附件2编排。论文作者请自留底稿，论文一经提交内容将不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能进行更改。参加出版者对提交论文版权负完全责任。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（邮件主题一定注明课题编号、课题负责人姓名、学校名称加出版文章四个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字）。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四、特别提醒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参加出版的，大学生自行按照《出版论文编排要求》对所出版的论文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进行初次排版，校对，文中严禁出现表格、图，只允许提交文字。不涉及知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识产权侵权行为，查重率不超过7%。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提交材料涉及表格、图及文字超过2000字（含标点符号）、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查重率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不超过7%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的，则不予汇总出版，造成的后果由课题组自负。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五、没有按规定时间要求提交结题资料的，将无法正常结题。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如课题组原因不参加论文出版，均不影响课题结项。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六、优秀成果评选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1、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highlight w:val="white"/>
          <w:rFonts w:ascii="仿宋" w:eastAsia="仿宋" w:hAnsi="仿宋" w:hint="default"/>
        </w:rPr>
        <w:t>凡按时参加结项，通过结项项目，均参加山东省大学生优秀科研成果奖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highlight w:val="white"/>
          <w:rFonts w:ascii="仿宋" w:eastAsia="仿宋" w:hAnsi="仿宋" w:hint="default"/>
        </w:rPr>
        <w:t>评奖，由山东省大学生优秀科研成果奖评选委员会同期颁发获奖证书</w:t>
      </w:r>
      <w:r>
        <w:rPr>
          <w:spacing w:val="0"/>
          <w:i w:val="0"/>
          <w:b w:val="0"/>
          <w:color w:val="2172CB"/>
          <w:position w:val="0"/>
          <w:sz w:val="24"/>
          <w:szCs w:val="24"/>
          <w:highlight w:val="white"/>
          <w:rFonts w:ascii="FangSong_GB2312" w:eastAsia="FangSong_GB2312" w:hAnsi="FangSong_GB2312" w:hint="default"/>
        </w:rPr>
        <w:t>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2、对承担项目指导工作的老师，同时颁发指导教师证书。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七、立项证书领取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项目组将出版费缴纳完毕，秘书处按邮箱所留信息办理邮寄或者自取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立项证书、发票。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证书领取时间：2020年10月-11月。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证书份数：一式二份，项目组、指导教师各一份。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注：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证书领取：快递或者自取。秘书处将按申请表所留信息安排快递，有信息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变化者与秘书处联系，没有变化的，缴纳出版费以后按要求留开票信息，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不用再联系沟通。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FangSong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39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