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ind w:left="280" w:firstLine="280"/>
        <w:jc w:val="center"/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有关2022年度山东省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教育科学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研究项目、教学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</w:p>
    <w:p>
      <w:pPr>
        <w:shd w:val="clear" w:color="auto" w:fill="FFFFFF"/>
        <w:wordWrap w:val="0"/>
        <w:ind w:left="280" w:firstLine="280"/>
        <w:jc w:val="center"/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结项验收的通知</w:t>
      </w:r>
    </w:p>
    <w:p>
      <w:pPr>
        <w:shd w:val="clear" w:color="auto" w:fill="FFFFFF"/>
        <w:wordWrap w:val="0"/>
        <w:jc w:val="center"/>
        <w:rPr>
          <w:rFonts w:ascii="华文细黑" w:hAnsi="华文细黑" w:eastAsia="华文细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有关院校科研处、有关课题负责人：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2022年度山东省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教育科学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（含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减专项）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、教学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名单已经公布，现将课题结项验收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及重点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课题资助有关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宜通知如下：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一、重点课题资助及发票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1.重点课题主持人应提供所在单位财务账号信息，填写《重点课题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收款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单位信息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2.向山东省青少年教育科学研究院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提供1500元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纳税人识别号：52370000MJD636087R，于2022年6月30日前报送，以便划拨资助经费。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3.本年度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重点课题每项资助1500元。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二、缴纳课题结项鉴定费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本年度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课题结项鉴定委托第三方进行，山东省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教育科学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研究项目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（含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减专项）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、教学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项目每项收取课题结项鉴定费600元，课题鉴定费在领取立项证书时收取。</w:t>
      </w:r>
    </w:p>
    <w:p>
      <w:pPr>
        <w:shd w:val="clear" w:color="auto" w:fill="FFFFFF"/>
        <w:wordWrap w:val="0"/>
        <w:spacing w:line="276" w:lineRule="auto"/>
        <w:ind w:firstLine="570"/>
        <w:jc w:val="lef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鉴定费由山东省青少年教育科学研究院收取并开具发票。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开户银行名称：中国工商银行济南市中支行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账户名称：山东省青少年教育科学研究院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开户银行代码：102451011095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账号：1602 1109 1900 0007 789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注意事项：汇款时注明课题负责人及课题编号。将单位名称、纳税识别号或统一社会信用代码信息发送到财务邮箱cn_qsn@163.com, 说明汇款人、汇款事由、联系电话、邮箱，以方便财务科对账联络。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三、结项程序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1.结项时间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课题研究周期为1年。结项材料受理时间：2023年3月1日-15日。课题如需延期，均延期一年，延期者在2024年3月1日-15日提交结项材料。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课题鉴定结项申请书一式二份；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立项证书复印件一式一份；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研究成果：公开发表的论文或研究报告均可结项，研究报告不低于6000字，一式二份。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材料收件地址</w:t>
      </w:r>
    </w:p>
    <w:p>
      <w:pPr>
        <w:shd w:val="clear" w:color="auto" w:fill="FFFFFF"/>
        <w:wordWrap w:val="0"/>
        <w:spacing w:line="276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纸质版结项材料按要求邮寄到山东省青少年教育科学研究院秘书处；电子版材料务必发送到指定邮箱sd_qsn@163.com。以上材料不全者，将不予组织鉴定。</w:t>
      </w:r>
    </w:p>
    <w:p>
      <w:pPr>
        <w:shd w:val="clear" w:color="000000" w:fill="FFFFFF"/>
        <w:wordWrap w:val="0"/>
        <w:spacing w:line="276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通过结项鉴定项目，颁发结项证书和成果证书。</w:t>
      </w:r>
    </w:p>
    <w:p>
      <w:pPr>
        <w:shd w:val="clear" w:color="auto" w:fill="FFFFFF"/>
        <w:wordWrap w:val="0"/>
        <w:spacing w:line="276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shd w:val="clear" w:color="auto" w:fill="FFFFFF"/>
        <w:wordWrap w:val="0"/>
        <w:spacing w:line="276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课题承担单位或课题负责人将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费缴纳完毕，课题立项证书由申报单位或课题负责人领取。</w:t>
      </w:r>
    </w:p>
    <w:p>
      <w:pPr>
        <w:shd w:val="clear" w:color="auto" w:fill="FFFFFF"/>
        <w:wordWrap w:val="0"/>
        <w:spacing w:line="276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证书领取时间：2022年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月—6月。</w:t>
      </w:r>
    </w:p>
    <w:p>
      <w:pPr>
        <w:shd w:val="clear" w:color="auto" w:fill="FFFFFF"/>
        <w:wordWrap w:val="0"/>
        <w:spacing w:line="276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证书领取方式：快递或者自取。秘书处将按结项申请表所留信息快递，如信息变更，及时联系秘书处。</w:t>
      </w:r>
      <w:bookmarkStart w:id="0" w:name="_GoBack"/>
      <w:bookmarkEnd w:id="0"/>
    </w:p>
    <w:p>
      <w:pPr>
        <w:spacing w:line="276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六</w:t>
      </w:r>
      <w:r>
        <w:rPr>
          <w:rFonts w:ascii="仿宋" w:hAnsi="仿宋" w:eastAsia="仿宋" w:cs="微软雅黑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联系方式</w:t>
      </w:r>
    </w:p>
    <w:p>
      <w:pPr>
        <w:spacing w:line="276" w:lineRule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山东省青少年教育科学研究院秘书处</w:t>
      </w:r>
    </w:p>
    <w:p>
      <w:pPr>
        <w:spacing w:line="276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地址：济南市历下区文化东路63号恒大帝景写字楼909办公室</w:t>
      </w:r>
    </w:p>
    <w:p>
      <w:pPr>
        <w:spacing w:line="276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邮箱：sd_qsn@163.com</w:t>
      </w:r>
    </w:p>
    <w:p>
      <w:pPr>
        <w:spacing w:line="276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联系电话：0531—82076188              </w:t>
      </w:r>
    </w:p>
    <w:p>
      <w:pPr>
        <w:shd w:val="clear" w:color="auto" w:fill="FFFFFF"/>
        <w:wordWrap w:val="0"/>
        <w:spacing w:line="276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wordWrap w:val="0"/>
        <w:spacing w:line="276" w:lineRule="auto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为保证立项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质量，自本年度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立项后，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今后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同类课题立项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数量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将大幅度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减少。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A0"/>
    <w:rsid w:val="0006315B"/>
    <w:rsid w:val="000841B7"/>
    <w:rsid w:val="00182BBF"/>
    <w:rsid w:val="001E1F45"/>
    <w:rsid w:val="002C6C2F"/>
    <w:rsid w:val="003305BD"/>
    <w:rsid w:val="003B06A7"/>
    <w:rsid w:val="00412BA4"/>
    <w:rsid w:val="004966A0"/>
    <w:rsid w:val="004B183D"/>
    <w:rsid w:val="005966D1"/>
    <w:rsid w:val="006E37FF"/>
    <w:rsid w:val="00835657"/>
    <w:rsid w:val="0092766C"/>
    <w:rsid w:val="00991277"/>
    <w:rsid w:val="009B527A"/>
    <w:rsid w:val="00B064AE"/>
    <w:rsid w:val="00B35287"/>
    <w:rsid w:val="00BE6F61"/>
    <w:rsid w:val="00CB753E"/>
    <w:rsid w:val="00CE6747"/>
    <w:rsid w:val="00D1382E"/>
    <w:rsid w:val="00F36C30"/>
    <w:rsid w:val="6D3E4E17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Malgun Gothic" w:hAnsi="Malgun Gothic" w:eastAsia="Malgun Gothic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Malgun Gothic" w:hAnsi="Malgun Gothic" w:eastAsia="Malgun Gothic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Malgun Gothic" w:hAnsi="Malgun Gothic" w:eastAsia="Malgun Gothic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Malgun Gothic" w:hAnsi="Malgun Gothic" w:eastAsia="Malgun Gothic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Malgun Gothic" w:hAnsi="Malgun Gothic" w:eastAsia="Malgun Gothic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Malgun Gothic" w:hAnsi="Malgun Gothic" w:eastAsia="Malgun Gothic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943</Words>
  <Characters>1080</Characters>
  <Lines>8</Lines>
  <Paragraphs>2</Paragraphs>
  <TotalTime>21</TotalTime>
  <ScaleCrop>false</ScaleCrop>
  <LinksUpToDate>false</LinksUpToDate>
  <CharactersWithSpaces>1112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2022-04-12T11:12:00Z</dcterms:created>
  <dc:creator>lenovo</dc:creator>
  <cp:lastModifiedBy>裴云峰</cp:lastModifiedBy>
  <dcterms:modified xsi:type="dcterms:W3CDTF">2022-04-13T02:31:30Z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EA8E4E63FA0D445496734163AD544259</vt:lpwstr>
  </property>
</Properties>
</file>