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spacing w:before="0" w:after="0" w:line="240" w:lineRule="auto"/>
        <w:ind w:left="3360" w:hanging="336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 xml:space="preserve">  </w:t>
      </w:r>
      <w:r>
        <w:rPr>
          <w:rFonts w:hint="eastAsia" w:ascii="Calibri" w:hAnsi="宋体" w:eastAsia="宋体"/>
          <w:color w:val="auto"/>
          <w:position w:val="0"/>
          <w:sz w:val="21"/>
          <w:szCs w:val="21"/>
          <w:lang w:val="en-US" w:eastAsia="zh-CN"/>
        </w:rPr>
        <w:t xml:space="preserve">       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有关202</w:t>
      </w:r>
      <w:r>
        <w:rPr>
          <w:rFonts w:hint="eastAsia" w:ascii="Calibri" w:hAnsi="宋体" w:eastAsia="宋体"/>
          <w:b/>
          <w:color w:val="auto"/>
          <w:position w:val="0"/>
          <w:sz w:val="28"/>
          <w:szCs w:val="28"/>
          <w:lang w:val="en-US" w:eastAsia="zh-CN"/>
        </w:rPr>
        <w:t>2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>年山东省教育信息技术研究课题结项验收的通知</w:t>
      </w: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ab/>
      </w:r>
    </w:p>
    <w:p>
      <w:pPr>
        <w:numPr>
          <w:ilvl w:val="0"/>
          <w:numId w:val="0"/>
        </w:numPr>
        <w:wordWrap w:val="0"/>
        <w:spacing w:before="0" w:after="0" w:line="240" w:lineRule="auto"/>
        <w:ind w:firstLine="1405" w:firstLineChars="500"/>
        <w:jc w:val="both"/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</w:pPr>
      <w:r>
        <w:rPr>
          <w:rFonts w:hint="default" w:ascii="Calibri" w:hAnsi="宋体" w:eastAsia="宋体"/>
          <w:b/>
          <w:color w:val="auto"/>
          <w:position w:val="0"/>
          <w:sz w:val="28"/>
          <w:szCs w:val="28"/>
        </w:rPr>
        <w:tab/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有关院校科研处、有关课题负责人：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年山东省教育信息技术研究课题已经公布，根据《山东省教育信息技术研究课题</w:t>
      </w:r>
      <w:bookmarkStart w:id="0" w:name="_GoBack"/>
      <w:bookmarkEnd w:id="0"/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管理办法》，现将项目结项验收有关事宜通知如下：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一、缴纳项目鉴定费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本项目每项收取鉴定费600元，在领取立项证书时收取。鉴定费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由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山东省青少年教育科学研究院收取并开具发票。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开户银行名称：中国工商银行济南市中支行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账户名称：山东省青少年教育科学研究院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开户银行代码：102451011095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账号：1602 1109 1900 0007 789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注意事项：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28"/>
          <w:szCs w:val="28"/>
        </w:rPr>
        <w:t>汇款时注明项目负责人及项目编号。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2.请</w:t>
      </w:r>
      <w:r>
        <w:rPr>
          <w:rFonts w:hint="eastAsia" w:ascii="华文仿宋" w:hAnsi="华文仿宋" w:eastAsia="华文仿宋" w:cs="华文仿宋"/>
          <w:sz w:val="28"/>
          <w:szCs w:val="28"/>
        </w:rPr>
        <w:t>将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课题编号、课题负责人姓名、开发票信息（</w:t>
      </w:r>
      <w:r>
        <w:rPr>
          <w:rFonts w:hint="eastAsia" w:ascii="华文仿宋" w:hAnsi="华文仿宋" w:eastAsia="华文仿宋" w:cs="华文仿宋"/>
          <w:sz w:val="28"/>
          <w:szCs w:val="28"/>
        </w:rPr>
        <w:t>单位名称、纳税识别号或统一社会信用代码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）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及邮寄地址的相关</w:t>
      </w:r>
      <w:r>
        <w:rPr>
          <w:rFonts w:hint="eastAsia" w:ascii="华文仿宋" w:hAnsi="华文仿宋" w:eastAsia="华文仿宋" w:cs="华文仿宋"/>
          <w:sz w:val="28"/>
          <w:szCs w:val="28"/>
        </w:rPr>
        <w:t xml:space="preserve">信息发送到财务邮箱cn_qsn@163.com,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并</w:t>
      </w:r>
      <w:r>
        <w:rPr>
          <w:rFonts w:hint="eastAsia" w:ascii="华文仿宋" w:hAnsi="华文仿宋" w:eastAsia="华文仿宋" w:cs="华文仿宋"/>
          <w:sz w:val="28"/>
          <w:szCs w:val="28"/>
        </w:rPr>
        <w:t>说明汇款人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及</w:t>
      </w:r>
      <w:r>
        <w:rPr>
          <w:rFonts w:hint="eastAsia" w:ascii="华文仿宋" w:hAnsi="华文仿宋" w:eastAsia="华文仿宋" w:cs="华文仿宋"/>
          <w:sz w:val="28"/>
          <w:szCs w:val="28"/>
        </w:rPr>
        <w:t>汇款事由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（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如不开发票或不需要邮寄的请注明“不开发票”或者“自取”等字样</w:t>
      </w:r>
      <w:r>
        <w:rPr>
          <w:rFonts w:hint="eastAsia" w:ascii="华文仿宋" w:hAnsi="华文仿宋" w:eastAsia="华文仿宋" w:cs="华文仿宋"/>
          <w:sz w:val="28"/>
          <w:szCs w:val="28"/>
        </w:rPr>
        <w:t>，以方便财务科对账联络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240" w:lineRule="auto"/>
        <w:ind w:right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结项程序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Chars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（一）结项时间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课题的研究周期为1年。结项材料受理时间：202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3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9月1-15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日。项目如需延期，均延期一年，延期者在202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9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月1-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15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日提交结项材料。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（二）材料报送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1、项目鉴定结项申请书；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2、立项证书复印件；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3、研究成果：公开发表的论文或者研究报告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均可结项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，研究报告不低于6000字。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560" w:firstLineChars="20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结项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材料均要求一式二份。纸质版结项材料邮寄到山东省青少年教育科学研究院秘书处；电子版材料发送到邮箱sd_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skj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@126.com。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三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、立项证书领取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 xml:space="preserve">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19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日—2021年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12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月1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8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日。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五、联系方式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地址：济南市历下区文化东路63号恒大帝景写字楼909办公室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邮箱：sd_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skj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@126.com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联系电话：0531—82076188   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</w:p>
    <w:p>
      <w:pPr>
        <w:numPr>
          <w:ilvl w:val="0"/>
          <w:numId w:val="0"/>
        </w:numPr>
        <w:wordWrap w:val="0"/>
        <w:spacing w:before="0" w:after="0" w:line="360" w:lineRule="auto"/>
        <w:ind w:left="0" w:firstLine="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 xml:space="preserve">   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山东省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青少年教育科学研究院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wordWrap w:val="0"/>
        <w:spacing w:before="0" w:after="0" w:line="360" w:lineRule="auto"/>
        <w:ind w:left="5320" w:hanging="5320"/>
        <w:jc w:val="both"/>
        <w:rPr>
          <w:rFonts w:hint="default" w:ascii="仿宋" w:hAnsi="仿宋" w:eastAsia="仿宋"/>
          <w:color w:val="auto"/>
          <w:position w:val="0"/>
          <w:sz w:val="28"/>
          <w:szCs w:val="28"/>
        </w:rPr>
      </w:pP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                                        202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10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position w:val="0"/>
          <w:sz w:val="28"/>
          <w:szCs w:val="28"/>
          <w:lang w:val="en-US" w:eastAsia="zh-CN"/>
        </w:rPr>
        <w:t>19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 xml:space="preserve">日                 </w:t>
      </w:r>
      <w:r>
        <w:rPr>
          <w:rFonts w:hint="default" w:ascii="仿宋" w:hAnsi="仿宋" w:eastAsia="仿宋"/>
          <w:color w:val="auto"/>
          <w:position w:val="0"/>
          <w:sz w:val="28"/>
          <w:szCs w:val="28"/>
        </w:rPr>
        <w:tab/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MxNmFiYTkxMmQ1NzFlODM3ODU5ZWJlODBhNjFhMmIifQ=="/>
  </w:docVars>
  <w:rsids>
    <w:rsidRoot w:val="00000000"/>
    <w:rsid w:val="17507D38"/>
    <w:rsid w:val="2F9E1EFE"/>
    <w:rsid w:val="316334CB"/>
    <w:rsid w:val="4CC15948"/>
    <w:rsid w:val="53912AD5"/>
    <w:rsid w:val="5F120465"/>
    <w:rsid w:val="5FF647E3"/>
    <w:rsid w:val="62047ABF"/>
    <w:rsid w:val="633369F4"/>
    <w:rsid w:val="72945B11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2020-12-15T08:38:00Z</dcterms:created>
  <dc:creator>lenovo</dc:creator>
  <cp:lastModifiedBy>玲玲</cp:lastModifiedBy>
  <dcterms:modified xsi:type="dcterms:W3CDTF">2022-10-19T06:45:34Z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F9334725142A49DB845B527E6224D395</vt:lpwstr>
  </property>
</Properties>
</file>