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r>
        <w:rPr>
          <w:rFonts w:hint="default" w:ascii="仿宋" w:hAnsi="仿宋" w:eastAsia="仿宋"/>
          <w:color w:val="000000" w:themeColor="text1"/>
          <w:position w:val="0"/>
          <w:sz w:val="28"/>
          <w:szCs w:val="28"/>
          <w14:textFill>
            <w14:solidFill>
              <w14:schemeClr w14:val="tx1"/>
            </w14:solidFill>
          </w14:textFill>
        </w:rPr>
        <w:t xml:space="preserve"> </w:t>
      </w:r>
      <w:r>
        <w:rPr>
          <w:rFonts w:hint="eastAsia" w:ascii="仿宋" w:hAnsi="仿宋" w:eastAsia="仿宋" w:cs="仿宋"/>
          <w:b/>
          <w:color w:val="000000" w:themeColor="text1"/>
          <w:position w:val="0"/>
          <w:sz w:val="36"/>
          <w:szCs w:val="36"/>
          <w14:textFill>
            <w14:solidFill>
              <w14:schemeClr w14:val="tx1"/>
            </w14:solidFill>
          </w14:textFill>
        </w:rPr>
        <w:t>有关202</w:t>
      </w:r>
      <w:r>
        <w:rPr>
          <w:rFonts w:hint="eastAsia" w:ascii="仿宋" w:hAnsi="仿宋" w:eastAsia="仿宋" w:cs="仿宋"/>
          <w:b/>
          <w:color w:val="000000" w:themeColor="text1"/>
          <w:position w:val="0"/>
          <w:sz w:val="36"/>
          <w:szCs w:val="36"/>
          <w:lang w:val="en-US" w:eastAsia="zh-CN"/>
          <w14:textFill>
            <w14:solidFill>
              <w14:schemeClr w14:val="tx1"/>
            </w14:solidFill>
          </w14:textFill>
        </w:rPr>
        <w:t>3</w:t>
      </w:r>
      <w:r>
        <w:rPr>
          <w:rFonts w:hint="eastAsia" w:ascii="仿宋" w:hAnsi="仿宋" w:eastAsia="仿宋" w:cs="仿宋"/>
          <w:b/>
          <w:color w:val="000000" w:themeColor="text1"/>
          <w:position w:val="0"/>
          <w:sz w:val="36"/>
          <w:szCs w:val="36"/>
          <w14:textFill>
            <w14:solidFill>
              <w14:schemeClr w14:val="tx1"/>
            </w14:solidFill>
          </w14:textFill>
        </w:rPr>
        <w:t>年度山东省青少年和青少年工作重大研究课题</w:t>
      </w:r>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r>
        <w:rPr>
          <w:rFonts w:hint="eastAsia" w:ascii="仿宋" w:hAnsi="仿宋" w:eastAsia="仿宋" w:cs="仿宋"/>
          <w:b/>
          <w:color w:val="000000" w:themeColor="text1"/>
          <w:position w:val="0"/>
          <w:sz w:val="36"/>
          <w:szCs w:val="36"/>
          <w14:textFill>
            <w14:solidFill>
              <w14:schemeClr w14:val="tx1"/>
            </w14:solidFill>
          </w14:textFill>
        </w:rPr>
        <w:t>结项验收的通知</w:t>
      </w:r>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年度山东省青少年和青少年工作重大研究课题已经公布，现将课题结项验收有关事宜通知如下：</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一</w:t>
      </w:r>
      <w:r>
        <w:rPr>
          <w:rFonts w:hint="eastAsia" w:ascii="仿宋" w:hAnsi="仿宋" w:eastAsia="仿宋" w:cs="仿宋"/>
          <w:color w:val="000000" w:themeColor="text1"/>
          <w:position w:val="0"/>
          <w:sz w:val="28"/>
          <w:szCs w:val="28"/>
          <w14:textFill>
            <w14:solidFill>
              <w14:schemeClr w14:val="tx1"/>
            </w14:solidFill>
          </w14:textFill>
        </w:rPr>
        <w:t>、缴纳课题结项鉴定费</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根据课题立项通知，山东省青少年和青少年工作重大研究课题结题每项收取课题结项鉴定费800元，课题鉴定费在领取立项证书时收取。鉴定费委托山东省青少年教育科学研究院收取并开具发票。</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b/>
          <w:bCs/>
          <w:sz w:val="28"/>
          <w:szCs w:val="28"/>
        </w:rPr>
        <w:t>汇款后请将您的课题</w:t>
      </w:r>
      <w:r>
        <w:rPr>
          <w:rFonts w:hint="eastAsia" w:ascii="仿宋" w:hAnsi="仿宋" w:eastAsia="仿宋" w:cs="仿宋"/>
          <w:b/>
          <w:bCs/>
          <w:sz w:val="28"/>
          <w:szCs w:val="28"/>
          <w:lang w:val="en-US" w:eastAsia="zh-CN"/>
        </w:rPr>
        <w:t>编号</w:t>
      </w:r>
      <w:r>
        <w:rPr>
          <w:rFonts w:hint="eastAsia" w:ascii="仿宋" w:hAnsi="仿宋" w:eastAsia="仿宋" w:cs="仿宋"/>
          <w:b/>
          <w:bCs/>
          <w:sz w:val="28"/>
          <w:szCs w:val="28"/>
        </w:rPr>
        <w:t>、负责人姓名、邮寄地址、开票信息（将单位名称、纳税识别号或统一社会信用代码信息）发送到财务邮箱cn_qsn@163.com</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如：不开发票或者自取的需注明“不开发票”或者“自取”的字样。</w:t>
      </w:r>
      <w:r>
        <w:rPr>
          <w:rFonts w:hint="eastAsia" w:ascii="仿宋" w:hAnsi="仿宋" w:eastAsia="仿宋" w:cs="仿宋"/>
          <w:color w:val="000000" w:themeColor="text1"/>
          <w:position w:val="0"/>
          <w:sz w:val="28"/>
          <w:szCs w:val="28"/>
          <w:lang w:val="en-US" w:eastAsia="zh-CN"/>
          <w14:textFill>
            <w14:solidFill>
              <w14:schemeClr w14:val="tx1"/>
            </w14:solidFill>
          </w14:textFill>
        </w:rPr>
        <w:t>并说明</w:t>
      </w:r>
      <w:r>
        <w:rPr>
          <w:rFonts w:hint="default" w:ascii="仿宋" w:hAnsi="仿宋" w:eastAsia="仿宋"/>
          <w:b w:val="0"/>
          <w:i w:val="0"/>
          <w:color w:val="000000" w:themeColor="text1"/>
          <w:spacing w:val="0"/>
          <w:position w:val="0"/>
          <w:sz w:val="28"/>
          <w:szCs w:val="28"/>
          <w14:textFill>
            <w14:solidFill>
              <w14:schemeClr w14:val="tx1"/>
            </w14:solidFill>
          </w14:textFill>
        </w:rPr>
        <w:t>汇款人、汇款事由、联系电话、邮箱，以方便财务科对账联络。</w:t>
      </w:r>
      <w:r>
        <w:rPr>
          <w:rFonts w:hint="eastAsia" w:ascii="仿宋" w:hAnsi="仿宋" w:eastAsia="仿宋" w:cs="仿宋"/>
          <w:color w:val="000000" w:themeColor="text1"/>
          <w:position w:val="0"/>
          <w:sz w:val="28"/>
          <w:szCs w:val="28"/>
          <w14:textFill>
            <w14:solidFill>
              <w14:schemeClr w14:val="tx1"/>
            </w14:solidFill>
          </w14:textFill>
        </w:rPr>
        <w:t xml:space="preserve">  </w:t>
      </w:r>
    </w:p>
    <w:p>
      <w:pPr>
        <w:numPr>
          <w:numId w:val="0"/>
        </w:numPr>
        <w:shd w:val="clear" w:color="000000" w:fill="FFFFFF"/>
        <w:wordWrap w:val="0"/>
        <w:autoSpaceDE/>
        <w:autoSpaceDN/>
        <w:spacing w:before="0" w:after="0" w:line="360" w:lineRule="auto"/>
        <w:ind w:right="0" w:right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二、</w:t>
      </w:r>
      <w:r>
        <w:rPr>
          <w:rFonts w:hint="eastAsia" w:ascii="仿宋" w:hAnsi="仿宋" w:eastAsia="仿宋" w:cs="仿宋"/>
          <w:color w:val="000000" w:themeColor="text1"/>
          <w:position w:val="0"/>
          <w:sz w:val="28"/>
          <w:szCs w:val="28"/>
          <w14:textFill>
            <w14:solidFill>
              <w14:schemeClr w14:val="tx1"/>
            </w14:solidFill>
          </w14:textFill>
        </w:rPr>
        <w:t>结项程序</w:t>
      </w:r>
    </w:p>
    <w:p>
      <w:pPr>
        <w:numPr>
          <w:ilvl w:val="0"/>
          <w:numId w:val="0"/>
        </w:numPr>
        <w:shd w:val="clear" w:color="000000" w:fill="FFFFFF"/>
        <w:wordWrap w:val="0"/>
        <w:autoSpaceDE/>
        <w:autoSpaceDN/>
        <w:spacing w:before="0" w:after="0" w:line="360" w:lineRule="auto"/>
        <w:ind w:right="0" w:rightChars="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pPr>
        <w:numPr>
          <w:ilvl w:val="0"/>
          <w:numId w:val="0"/>
        </w:numPr>
        <w:shd w:val="clear" w:color="000000" w:fill="FFFFFF"/>
        <w:wordWrap w:val="0"/>
        <w:autoSpaceDE/>
        <w:autoSpaceDN/>
        <w:spacing w:before="0" w:after="0" w:line="360" w:lineRule="auto"/>
        <w:ind w:right="0" w:firstLine="56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年12月1日-15日。课题如需延期，均延期一年，延期者在202</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r>
        <w:rPr>
          <w:rFonts w:hint="eastAsia" w:ascii="仿宋" w:hAnsi="仿宋" w:eastAsia="仿宋" w:cs="仿宋"/>
          <w:color w:val="000000" w:themeColor="text1"/>
          <w:position w:val="0"/>
          <w:sz w:val="28"/>
          <w:szCs w:val="28"/>
          <w14:textFill>
            <w14:solidFill>
              <w14:schemeClr w14:val="tx1"/>
            </w14:solidFill>
          </w14:textFill>
        </w:rPr>
        <w:t>年12月1日-15日提交结项材料。</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1、山东省青少年和青少年重大课题鉴定结项申请书一式二份；</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3、研究成果：公开发表的论文或者研究报告均可结项，研究报告不低于6000字，一式二份；</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以上材料不全，将无法参加结项鉴定。</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通过结项鉴定项目，颁发结项证书和优秀成果鉴定证书。</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纸质版结项材料邮寄到山东省青少年教育科学研究院秘书处；电子版材料发送到邮箱sd_qsn@163.com。</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pPr>
        <w:numPr>
          <w:ilvl w:val="0"/>
          <w:numId w:val="0"/>
        </w:numPr>
        <w:shd w:val="clear" w:color="000000" w:fill="FFFFFF"/>
        <w:wordWrap w:val="0"/>
        <w:autoSpaceDE/>
        <w:autoSpaceDN/>
        <w:spacing w:before="0" w:after="0" w:line="360" w:lineRule="auto"/>
        <w:ind w:right="0" w:firstLine="56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课题承担单位或课题负责人将评审费缴纳完毕，课题立项证书由申报单位集中领取或课题负责人领取。</w:t>
      </w:r>
    </w:p>
    <w:p>
      <w:pPr>
        <w:numPr>
          <w:ilvl w:val="0"/>
          <w:numId w:val="0"/>
        </w:numPr>
        <w:shd w:val="clear" w:color="000000" w:fill="FFFFFF"/>
        <w:wordWrap w:val="0"/>
        <w:autoSpaceDE/>
        <w:autoSpaceDN/>
        <w:spacing w:before="0" w:after="0" w:line="360" w:lineRule="auto"/>
        <w:ind w:right="0" w:firstLine="56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领取方式：</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或自取。</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地址</w:t>
      </w:r>
      <w:r>
        <w:rPr>
          <w:rFonts w:hint="eastAsia" w:ascii="仿宋" w:hAnsi="仿宋" w:eastAsia="仿宋" w:cs="仿宋"/>
          <w:color w:val="000000" w:themeColor="text1"/>
          <w:position w:val="0"/>
          <w:sz w:val="28"/>
          <w:szCs w:val="28"/>
          <w:lang w:val="en-US" w:eastAsia="zh-CN"/>
          <w14:textFill>
            <w14:solidFill>
              <w14:schemeClr w14:val="tx1"/>
            </w14:solidFill>
          </w14:textFill>
        </w:rPr>
        <w:t>以发邮件时备注信息为准，如未留地址</w:t>
      </w:r>
      <w:r>
        <w:rPr>
          <w:rFonts w:hint="eastAsia" w:ascii="仿宋" w:hAnsi="仿宋" w:eastAsia="仿宋" w:cs="仿宋"/>
          <w:color w:val="000000" w:themeColor="text1"/>
          <w:position w:val="0"/>
          <w:sz w:val="28"/>
          <w:szCs w:val="28"/>
          <w14:textFill>
            <w14:solidFill>
              <w14:schemeClr w14:val="tx1"/>
            </w14:solidFill>
          </w14:textFill>
        </w:rPr>
        <w:t>的，将参照申报书信息安排</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，如有变动，请及时告知。</w:t>
      </w:r>
      <w:r>
        <w:rPr>
          <w:rFonts w:hint="eastAsia" w:ascii="仿宋" w:hAnsi="仿宋" w:eastAsia="仿宋" w:cs="仿宋"/>
          <w:color w:val="000000" w:themeColor="text1"/>
          <w:position w:val="0"/>
          <w:sz w:val="28"/>
          <w:szCs w:val="28"/>
          <w14:textFill>
            <w14:solidFill>
              <w14:schemeClr w14:val="tx1"/>
            </w14:solidFill>
          </w14:textFill>
        </w:rPr>
        <w:br w:type="textWrapping"/>
      </w:r>
      <w:r>
        <w:rPr>
          <w:rFonts w:hint="eastAsia" w:ascii="仿宋" w:hAnsi="仿宋" w:eastAsia="仿宋" w:cs="仿宋"/>
          <w:color w:val="000000" w:themeColor="text1"/>
          <w:position w:val="0"/>
          <w:sz w:val="28"/>
          <w:szCs w:val="28"/>
          <w14:textFill>
            <w14:solidFill>
              <w14:schemeClr w14:val="tx1"/>
            </w14:solidFill>
          </w14:textFill>
        </w:rPr>
        <w:t xml:space="preserve">    证书领取时间：2022年2-5月份。</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四</w:t>
      </w:r>
      <w:r>
        <w:rPr>
          <w:rFonts w:hint="eastAsia" w:ascii="仿宋" w:hAnsi="仿宋" w:eastAsia="仿宋" w:cs="仿宋"/>
          <w:color w:val="000000" w:themeColor="text1"/>
          <w:position w:val="0"/>
          <w:sz w:val="28"/>
          <w:szCs w:val="28"/>
          <w14:textFill>
            <w14:solidFill>
              <w14:schemeClr w14:val="tx1"/>
            </w14:solidFill>
          </w14:textFill>
        </w:rPr>
        <w:t>、联系方式</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地址：济南市历下区文化东路63号恒大帝景写字楼909办公室</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邮箱：sd_qsn@163.com</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联系电话：0531—82076188   </w:t>
      </w:r>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color w:val="000000" w:themeColor="text1"/>
          <w:position w:val="0"/>
          <w:sz w:val="28"/>
          <w:szCs w:val="28"/>
          <w14:textFill>
            <w14:solidFill>
              <w14:schemeClr w14:val="tx1"/>
            </w14:solidFill>
          </w14:textFill>
        </w:rPr>
      </w:pPr>
      <w:bookmarkStart w:id="0" w:name="_GoBack"/>
      <w:bookmarkEnd w:id="0"/>
    </w:p>
    <w:sect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8a972b88-fc25-455d-a112-40a0d16996e7"/>
  </w:docVars>
  <w:rsids>
    <w:rsidRoot w:val="00000000"/>
    <w:rsid w:val="15A2622A"/>
    <w:rsid w:val="1E6C14DA"/>
    <w:rsid w:val="4E267CA0"/>
    <w:rsid w:val="58740070"/>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0"/>
      <w:szCs w:val="20"/>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0"/>
      <w:szCs w:val="20"/>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3">
    <w:name w:val="Default Paragraph Font"/>
    <w:semiHidden/>
    <w:unhideWhenUsed/>
    <w:qFormat/>
    <w:uiPriority w:val="2"/>
  </w:style>
  <w:style w:type="table" w:default="1" w:styleId="22">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4">
    <w:name w:val="Strong"/>
    <w:qFormat/>
    <w:uiPriority w:val="20"/>
    <w:rPr>
      <w:b/>
      <w:w w:val="100"/>
      <w:sz w:val="21"/>
      <w:szCs w:val="21"/>
      <w:shd w:val="clear" w:color="000000"/>
    </w:rPr>
  </w:style>
  <w:style w:type="character" w:styleId="25">
    <w:name w:val="Emphasis"/>
    <w:qFormat/>
    <w:uiPriority w:val="18"/>
    <w:rPr>
      <w:i/>
      <w:w w:val="100"/>
      <w:sz w:val="21"/>
      <w:szCs w:val="21"/>
      <w:shd w:val="clear" w:color="000000"/>
    </w:rPr>
  </w:style>
  <w:style w:type="paragraph" w:styleId="26">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7">
    <w:name w:val="Subtle Emphasis"/>
    <w:qFormat/>
    <w:uiPriority w:val="17"/>
    <w:rPr>
      <w:i/>
      <w:color w:val="404040"/>
      <w:w w:val="100"/>
      <w:sz w:val="21"/>
      <w:szCs w:val="21"/>
      <w:shd w:val="clear" w:color="000000"/>
    </w:rPr>
  </w:style>
  <w:style w:type="character" w:customStyle="1" w:styleId="28">
    <w:name w:val="Intense Emphasis"/>
    <w:qFormat/>
    <w:uiPriority w:val="19"/>
    <w:rPr>
      <w:i/>
      <w:color w:val="5B9BD5"/>
      <w:w w:val="100"/>
      <w:sz w:val="21"/>
      <w:szCs w:val="21"/>
      <w:shd w:val="clear" w:color="000000"/>
    </w:rPr>
  </w:style>
  <w:style w:type="paragraph" w:styleId="29">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0"/>
      <w:szCs w:val="20"/>
      <w:shd w:val="clear"/>
    </w:rPr>
  </w:style>
  <w:style w:type="paragraph" w:styleId="30">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0"/>
      <w:szCs w:val="20"/>
      <w:shd w:val="clear"/>
    </w:rPr>
  </w:style>
  <w:style w:type="character" w:customStyle="1" w:styleId="31">
    <w:name w:val="Subtle Reference"/>
    <w:qFormat/>
    <w:uiPriority w:val="23"/>
    <w:rPr>
      <w:smallCaps/>
      <w:color w:val="5A5A5A"/>
      <w:w w:val="100"/>
      <w:sz w:val="21"/>
      <w:szCs w:val="21"/>
      <w:shd w:val="clear" w:color="000000"/>
    </w:rPr>
  </w:style>
  <w:style w:type="character" w:customStyle="1" w:styleId="32">
    <w:name w:val="Intense Reference"/>
    <w:qFormat/>
    <w:uiPriority w:val="24"/>
    <w:rPr>
      <w:b/>
      <w:smallCaps/>
      <w:color w:val="5B9BD5"/>
      <w:w w:val="100"/>
      <w:sz w:val="21"/>
      <w:szCs w:val="21"/>
      <w:shd w:val="clear" w:color="000000"/>
    </w:rPr>
  </w:style>
  <w:style w:type="character" w:customStyle="1" w:styleId="33">
    <w:name w:val="Book Title"/>
    <w:qFormat/>
    <w:uiPriority w:val="25"/>
    <w:rPr>
      <w:b/>
      <w:i/>
      <w:w w:val="100"/>
      <w:sz w:val="21"/>
      <w:szCs w:val="21"/>
      <w:shd w:val="clear" w:color="000000"/>
    </w:rPr>
  </w:style>
  <w:style w:type="paragraph" w:styleId="34">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5">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171</Words>
  <Characters>0</Characters>
  <Lines>8</Lines>
  <Paragraphs>2</Paragraphs>
  <TotalTime>4</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2023-03-08T06:00:00Z</dcterms:created>
  <dc:creator>Administrator</dc:creator>
  <cp:lastModifiedBy>玲玲</cp:lastModifiedBy>
  <dcterms:modified xsi:type="dcterms:W3CDTF">2023-03-10T02:21:59Z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596A334F148C44BE8221A950C71F8C50</vt:lpwstr>
  </property>
</Properties>
</file>