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ind w:left="280" w:firstLine="280"/>
        <w:jc w:val="center"/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有关202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山东省教育教学改革研究项目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结项验收的通知</w:t>
      </w:r>
    </w:p>
    <w:p>
      <w:pPr>
        <w:shd w:val="clear" w:color="auto" w:fill="FFFFFF"/>
        <w:wordWrap w:val="0"/>
        <w:jc w:val="center"/>
        <w:rPr>
          <w:rFonts w:ascii="华文细黑" w:hAnsi="华文细黑" w:eastAsia="华文细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有关院校科研处、有关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负责人：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山东省教育教学改革研究项目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名单已经公布，现将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结项验收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及重点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资助有关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宜通知如下：</w:t>
      </w:r>
    </w:p>
    <w:p>
      <w:pPr>
        <w:shd w:val="clear" w:color="auto" w:fill="FFFFFF"/>
        <w:wordWrap w:val="0"/>
        <w:spacing w:line="276" w:lineRule="auto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一、重点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资助及发票</w:t>
      </w:r>
    </w:p>
    <w:p>
      <w:pPr>
        <w:wordWrap/>
        <w:autoSpaceDE/>
        <w:autoSpaceDN/>
        <w:snapToGrid w:val="0"/>
        <w:spacing w:before="0" w:after="0" w:line="440" w:lineRule="exact"/>
        <w:ind w:left="0" w:firstLine="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1.重点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主持人应提供所在单位财务账号信息，填写《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重点项目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立项协议书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2.向山东省青少年教育科学研究院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提供1500元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山东省青少年教育科学研究院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纳税人识别号：52370000MJD636087R，于202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月30日前报送，以便划拨资助经费。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3.本年度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每项资助1500元。</w:t>
      </w:r>
    </w:p>
    <w:p>
      <w:pPr>
        <w:shd w:val="clear" w:color="auto" w:fill="FFFFFF"/>
        <w:wordWrap w:val="0"/>
        <w:spacing w:line="276" w:lineRule="auto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二、缴纳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结项鉴定费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根据项目立项通知，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青少年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教育科学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收取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鉴定费由山东省青少年教育科学研究院收取并开具发票。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开户银行名称：中国工商银行济南市中支行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账户名称：山东省青少年教育科学研究院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开户银行代码：102451011095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账号：1602 1109 1900 0007 789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、负责人姓名、邮寄地址、开票信息（将单位名称、纳税识别号或统一社会信用代码信息）发送到财务邮箱cn_qsn@163.com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shd w:val="clear" w:color="auto" w:fill="FFFFFF"/>
        <w:wordWrap w:val="0"/>
        <w:spacing w:line="276" w:lineRule="auto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三、结项程序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1.结项时间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研究周期为1年。结项材料受理时间：202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25日前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提交结项材料。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材料报送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鉴定结项申请书一式二份；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研究成果：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严格按照研究成果编辑要求填写。</w:t>
      </w:r>
      <w:r>
        <w:rPr>
          <w:rFonts w:hint="default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不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能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  <w:t>。</w:t>
      </w:r>
      <w:r>
        <w:rPr>
          <w:rFonts w:hint="default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③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一式二份。</w:t>
      </w:r>
    </w:p>
    <w:p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同时需提交该论文按照研究报告编辑排版及打印格式的相关要求，进行排版打印纸质版材料，一式二份。</w:t>
      </w:r>
      <w:bookmarkStart w:id="0" w:name="_GoBack"/>
      <w:bookmarkEnd w:id="0"/>
    </w:p>
    <w:p>
      <w:pPr>
        <w:shd w:val="clear" w:color="auto" w:fill="FFFFFF"/>
        <w:wordWrap w:val="0"/>
        <w:spacing w:line="276" w:lineRule="auto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材料收件地址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纸质版结项材料按要求邮寄到山东省青少年教育科学研究院秘书处；电子版材料务必发送到指定邮箱</w:t>
      </w:r>
      <w:r>
        <w:rPr>
          <w:rFonts w:hint="eastAsia" w:ascii="宋体" w:hAnsi="宋体" w:cs="宋体"/>
          <w:sz w:val="31"/>
          <w:szCs w:val="31"/>
        </w:rPr>
        <w:t>sd_gov@126.com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shd w:val="clear" w:color="000000" w:fill="FFFFFF"/>
        <w:wordWrap w:val="0"/>
        <w:spacing w:line="276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通过结项鉴定项目，颁发结项证书和成果证书。</w:t>
      </w:r>
    </w:p>
    <w:p>
      <w:pPr>
        <w:shd w:val="clear" w:color="auto" w:fill="FFFFFF"/>
        <w:wordWrap w:val="0"/>
        <w:spacing w:line="276" w:lineRule="auto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shd w:val="clear" w:color="auto" w:fill="FFFFFF"/>
        <w:wordWrap w:val="0"/>
        <w:spacing w:line="276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费缴纳完毕，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shd w:val="clear" w:color="auto" w:fill="FFFFFF"/>
        <w:wordWrap w:val="0"/>
        <w:spacing w:line="276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shd w:val="clear" w:color="auto" w:fill="FFFFFF"/>
        <w:wordWrap w:val="0"/>
        <w:spacing w:line="276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证书领取方式：快递或者自取。秘书处将按结项申请表所留信息快递，如信息变更，及时联系秘书处。</w:t>
      </w:r>
    </w:p>
    <w:p>
      <w:pPr>
        <w:spacing w:line="276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六</w:t>
      </w:r>
      <w:r>
        <w:rPr>
          <w:rFonts w:ascii="仿宋" w:hAnsi="仿宋" w:eastAsia="仿宋" w:cs="微软雅黑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联系方式</w:t>
      </w:r>
    </w:p>
    <w:p>
      <w:pPr>
        <w:spacing w:line="276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山东省青少年教育科学研究院秘书处</w:t>
      </w:r>
    </w:p>
    <w:p>
      <w:pPr>
        <w:spacing w:line="276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地址：济南市历下区文化东路63号恒大帝景写字楼909办公室</w:t>
      </w:r>
    </w:p>
    <w:p>
      <w:pPr>
        <w:spacing w:line="276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联系人：田老师</w:t>
      </w:r>
    </w:p>
    <w:p>
      <w:pPr>
        <w:spacing w:line="276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联系电话：0531—82076188              </w:t>
      </w:r>
    </w:p>
    <w:p>
      <w:pPr>
        <w:shd w:val="clear" w:color="auto" w:fill="FFFFFF"/>
        <w:wordWrap w:val="0"/>
        <w:spacing w:line="276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wordWrap w:val="0"/>
        <w:spacing w:line="276" w:lineRule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NmFiYTkxMmQ1NzFlODM3ODU5ZWJlODBhNjFhMmIifQ=="/>
  </w:docVars>
  <w:rsids>
    <w:rsidRoot w:val="004966A0"/>
    <w:rsid w:val="0006315B"/>
    <w:rsid w:val="000841B7"/>
    <w:rsid w:val="00182BBF"/>
    <w:rsid w:val="001E1F45"/>
    <w:rsid w:val="002C6C2F"/>
    <w:rsid w:val="003305BD"/>
    <w:rsid w:val="003B06A7"/>
    <w:rsid w:val="00412BA4"/>
    <w:rsid w:val="004966A0"/>
    <w:rsid w:val="004B183D"/>
    <w:rsid w:val="005966D1"/>
    <w:rsid w:val="006E37FF"/>
    <w:rsid w:val="00835657"/>
    <w:rsid w:val="0092766C"/>
    <w:rsid w:val="00991277"/>
    <w:rsid w:val="009B527A"/>
    <w:rsid w:val="00B064AE"/>
    <w:rsid w:val="00B35287"/>
    <w:rsid w:val="00BE6F61"/>
    <w:rsid w:val="00CB753E"/>
    <w:rsid w:val="00CE6747"/>
    <w:rsid w:val="00D1382E"/>
    <w:rsid w:val="00F36C30"/>
    <w:rsid w:val="0EA326F8"/>
    <w:rsid w:val="108854CD"/>
    <w:rsid w:val="20EC3AC3"/>
    <w:rsid w:val="226A391E"/>
    <w:rsid w:val="35563587"/>
    <w:rsid w:val="417E70F0"/>
    <w:rsid w:val="444F13CB"/>
    <w:rsid w:val="556F7DEC"/>
    <w:rsid w:val="60861225"/>
    <w:rsid w:val="6D3E4E17"/>
    <w:rsid w:val="734E0610"/>
    <w:rsid w:val="77B57DE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Malgun Gothic" w:hAnsi="Malgun Gothic" w:eastAsia="Malgun Gothic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Malgun Gothic" w:hAnsi="Malgun Gothic" w:eastAsia="Malgun Gothic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Malgun Gothic" w:hAnsi="Malgun Gothic" w:eastAsia="Malgun Gothic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Malgun Gothic" w:hAnsi="Malgun Gothic" w:eastAsia="Malgun Gothic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Malgun Gothic" w:hAnsi="Malgun Gothic" w:eastAsia="Malgun Gothic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Malgun Gothic" w:hAnsi="Malgun Gothic" w:eastAsia="Malgun Gothic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Malgun Gothic" w:hAnsi="Malgun Gothic" w:eastAsia="Malgun Gothic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Malgun Gothic" w:hAnsi="Malgun Gothic" w:eastAsia="Malgun Gothic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Char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943</Words>
  <Characters>1080</Characters>
  <Lines>8</Lines>
  <Paragraphs>2</Paragraphs>
  <TotalTime>0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2022-04-12T11:12:00Z</dcterms:created>
  <dc:creator>lenovo</dc:creator>
  <cp:lastModifiedBy>玲玲</cp:lastModifiedBy>
  <dcterms:modified xsi:type="dcterms:W3CDTF">2023-05-19T08:15:08Z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EA8E4E63FA0D445496734163AD544259</vt:lpwstr>
  </property>
</Properties>
</file>